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A6" w:rsidRPr="00585073" w:rsidRDefault="00AD42D9" w:rsidP="0058507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FF0000"/>
          <w:sz w:val="28"/>
          <w:szCs w:val="28"/>
        </w:rPr>
        <w:t>Обзор периодики за неделю 01-05.04.2019 г.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Львова, Л.С.   Художественная направленность дополнительного образования в режиме методического опережения [Текст]: сборник материалов из опыта работы педагогов дополнительного образования / С.А. Руденко, Н.Н. Баканова, Л.С. Львова; Авт.-сост.: Л.С. Львова // Библиотека. - М.: ИД М</w:t>
      </w:r>
      <w:r w:rsidR="006F1A7B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етодист, 2019. – №2. </w:t>
      </w: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- 56 с.</w:t>
      </w:r>
    </w:p>
    <w:p w:rsidR="00113514" w:rsidRDefault="00113514" w:rsidP="0011351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1477010" cy="2070100"/>
            <wp:effectExtent l="0" t="0" r="889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405_144636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701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D9" w:rsidRPr="00585073">
        <w:rPr>
          <w:rFonts w:ascii="Times New Roman" w:hAnsi="Times New Roman" w:cs="Times New Roman"/>
          <w:sz w:val="28"/>
          <w:szCs w:val="28"/>
        </w:rPr>
        <w:t xml:space="preserve">В сборнике материалов из опыта работы педагогов дополнительного образования "Художественная направленность дополнительного образования в режиме методического опережения" журнал "Методист" продолжает публиковать материалы лауреатов Всероссийского конкурса профессионального мастерства педагогов дополнительного образования "Сердце отдаю детям" 2018 года в номинации "Художественная направленность". </w:t>
      </w:r>
    </w:p>
    <w:p w:rsidR="00AD42D9" w:rsidRPr="00585073" w:rsidRDefault="00AD42D9" w:rsidP="00113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Данный сборник позволит читателям познакомиться с уникальным опытом С.А. Руденко (Республика Карелия) по воспитанию пианистических навыков у детей с ограниченными возможностями здоровья, а также Н.Н. Бакановой, представившей программу театра "Луч" (Ярославль). Сборник завершают методические рекомендации по представлению и оценке материалов, представляемых на конкурс. Сборник может быть полезен для руководителей и педагогов системы дополнительного образования детей.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Филатова, Т.В.   Викторина "Города-герои Великой Отечественной войны", посвященная 75-летию победы советского народа в Великой Отечественной войне 1941-1945 гг. [Текст] / Т.В. Филатова    // Мастер-класс. - 2019. - №2. - С.48-53.</w:t>
      </w:r>
    </w:p>
    <w:p w:rsidR="00AD42D9" w:rsidRPr="00585073" w:rsidRDefault="00113514" w:rsidP="0011351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636</wp:posOffset>
            </wp:positionV>
            <wp:extent cx="1477999" cy="1993900"/>
            <wp:effectExtent l="0" t="0" r="8255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0405_144644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277" cy="2001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D9" w:rsidRPr="00585073">
        <w:rPr>
          <w:rFonts w:ascii="Times New Roman" w:hAnsi="Times New Roman" w:cs="Times New Roman"/>
          <w:sz w:val="28"/>
          <w:szCs w:val="28"/>
        </w:rPr>
        <w:t>Предлагаемая статья основана на педагогическом опыте автора. Теоретическая часть статьи посвящена викторине как форме игровой технологии. В практической части статьи описано воспитательное мероприятие. Это викторина "Города-герои Великой Отечественной войны". Содержание викторины на повторение знаний учащихся 8-9 классов о событиях Великой Отечественной войны и на приобретение знаний.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Мошкин, В.Н.   Разработка электронных тестов для диагностики готовности учащихся к творческому решению проблем безопасности [Текст] / В.Н. Мошкин, А.В. Кравченко    // ОБЖ. Основы безопасности жизни. - 2018. - №6. - С.13-16.</w:t>
      </w:r>
    </w:p>
    <w:p w:rsidR="00AD42D9" w:rsidRPr="00585073" w:rsidRDefault="00113514" w:rsidP="0011351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4445</wp:posOffset>
            </wp:positionV>
            <wp:extent cx="1416050" cy="207731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90405_144608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622" cy="2101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D9" w:rsidRPr="00585073">
        <w:rPr>
          <w:rFonts w:ascii="Times New Roman" w:hAnsi="Times New Roman" w:cs="Times New Roman"/>
          <w:sz w:val="28"/>
          <w:szCs w:val="28"/>
        </w:rPr>
        <w:t>В статье сделан вывод, что к основным тенденциям развития практики диагностики результатов обучения безопасному поведению относится разработка и внедрение электронных тестов творческого уровня. Изложен и проанализирован опыт разработки электронных тестов для повышения уровня самостоятельности школьников в ходе диагностики готовности к обеспечению безопасности.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Воронцова, О.С.   "Школа Лайф-Файтинга" - обзор деятельности клуба безопасности и выживания в системе дополнительного образования [Текст] / О.С. Воронцова    // ОБЖ. Основы безопасности жизни. - 2018. - №6. - С.17-20.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Дан обзор деятельности сообщества по безопасности и выживанию "Школа Лайф-Файтинга" на базе подросткового клуба в системе дополнительного образования. Показано противоречие между существующей системой обучения ОБЖ и активной позицией по обеспечению личной безопасности у молодежи и решение этого вопроса через создание специализированных площадок на базе дополнительного образования. Обзор опыта объединения по безопасности на базе подросткового клуба как системы воспитания в подростках активной позиции в вопросах безопасности.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Талагаева, Ю.А.   Модель профилактики межличностных конфликтов среди обучающихся средствами внеурочной деятельности по ОБЖ [Текст] / Ю.А. Талагаева, М.Н. Коломоец    // ОБЖ. Основы безопасности жизни. - 2018. - №6. - С.21-25.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Рассмотрена проблема профилактики межличностных конфликтов среди обучающихся подросткового возраста. Приведены результаты исследования склонности подростков к агрессии и предпочитаемых способов поведения в конфликте. Представлена модель поведения внеурочных мероприятий для формирования умений конструктивного поведения учащихся в конфликтной ситуации.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Маслов, М.В.   Актуальные материалы преподавателям по разделу ОВС [Текст] / М.В. Маслов, С.В. Петров    // ОБЖ. Основы безопасности жизни. - 2018. - №6. - С. 26-30.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статье представлены методические материалы по основам военной службы и начальной военной подготовке, даны рекомендации по проведению учебных сборов на базах воинских частей.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Зуев, А.М.   Траектория и ее элементы. Закономерности меткой стрельбы [Текст]: А.М. Зуев    // ОБЖ. Основы безопасности жизни. - 2018. - №6. - С.31-33.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 xml:space="preserve">Рассмотрено состояние стрелковой подготовки обучающихся в общеобразовательных учреждениях. Приведены причины недостаточной огневой подготовки учащихся школ и студентов СПО. Основываясь на полученные студентами знания по физике и математике, при выполнении практических занятий дается количественная оценка параметров выстрела в зависимости от вида оружия. Предлагается ряд задач для более глубокого усвоения рассматриваемых явлений. Выявляются закономерности и рекомендации меткой стрельбы до проведения студентами летних сборов. Формируется целостная система знаний о науке стрельбы с позиции внутренней и внешней баллистики. 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Семенов, М.   Русская Голгофа: 100 лет назад австрийцы устроили геноцид русских на Западной Украине [Текст] / М. Семенов    // ОБЖ. Основы безопасности жизни. - 2018. - №6. - С.34-36.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При упоминании Галичины - исторической области на Западе Украины - первым делом вспоминаются события Второй мировой войны и одноименная дивизия СС, сформированная из украинских добровольцев. Однако всего сто лет назад Галиция (русское название региона) была известна не как центр украинского национального движения, а как оплот русской и православной культуры в Австро-Венгрии. Австрийцы не без основания подозревали местных жителей в симпатиях к России, а с началом Первой мировой войны началась форменная паранойя с поиском русских шпионов и агентов влияния. Борьба с русской угрозой завершилась созданием первого в Европе концлагеря Талергоф и геноцидом местного населения. О жизни и смерти русской Галичины - в материале "Ленты.ру"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Петрова, С.Н.   Современные подходы к повышению квалификации работников дошкольных образовательных организаций в инновационной образовательной среде [Текст] / С.Н. Петрова    // Методист. - 2019. - №2. - С.2-4.</w:t>
      </w:r>
    </w:p>
    <w:p w:rsidR="00AD42D9" w:rsidRPr="00585073" w:rsidRDefault="00113514" w:rsidP="0011351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-1799</wp:posOffset>
            </wp:positionV>
            <wp:extent cx="1383740" cy="1962150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90405_144622-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74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D9" w:rsidRPr="00585073">
        <w:rPr>
          <w:rFonts w:ascii="Times New Roman" w:hAnsi="Times New Roman" w:cs="Times New Roman"/>
          <w:sz w:val="28"/>
          <w:szCs w:val="28"/>
        </w:rPr>
        <w:t>В данной статье раскрыта сущность современных подходов к повышению квалификации работников ДОО в инновационной образовательной среде, представлена их краткая характеристика, раскрыты понятия "компетенция", "компетентность", "квалификация".</w:t>
      </w:r>
    </w:p>
    <w:p w:rsidR="00AD42D9" w:rsidRPr="00585073" w:rsidRDefault="00AD42D9" w:rsidP="00113514">
      <w:pPr>
        <w:spacing w:after="0" w:line="360" w:lineRule="auto"/>
        <w:ind w:left="2832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Фатнева, Е.А.   Методы и фо</w:t>
      </w:r>
      <w:r w:rsidR="0011351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рмы профессиональной ориентации </w:t>
      </w: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обучающихся на уровне среднего общего образования [Текст] / Е.А. Фатнева. - М.: ИД Методист, 2019. - С.5-8.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Статья раскрывает некоторые подходы к организации психолого-педагогического сопровождения профессионального самоопределения обучающихся на уровне среднего общего образования. В ней рассматриваются методы и формы профессиональной ориентации в старшей школе, которые учитывают индивидуальные особенности и потребности учеников.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Ягодкина, О.К.   Результаты и эффекты реализации программы "Методическое сопровождение развития профессиональных компетентностей педагогов в оценочной деятельности" [Текст] / О.К. Ягодкина    // Методист. - 2019. - №2. - С.13-16.</w:t>
      </w:r>
    </w:p>
    <w:p w:rsidR="00AD42D9" w:rsidRPr="00585073" w:rsidRDefault="00AD42D9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статье кратко раскрыто содержание и этапы формирования практики по методическому сопровождению развития профессиональных компетентностей педагогов в оценочной деятельности, а также представлена оценочная рубрика "Культура оценочной деятельности педагога", разработанная и апробированная в условиях инновационной деятельности.</w:t>
      </w:r>
    </w:p>
    <w:p w:rsidR="00AD42D9" w:rsidRPr="00585073" w:rsidRDefault="00AD42D9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Костюченко, Л.А.   Современные формы управления профессиональным развитием педагогических работников в условиях реализации модели национальной системы учительского роста [Текст] / Л.А. Костюченко    // Методист. - 2019. - №2. - С.16-20.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статье рассматривается обновленная модель управления профессиональным развитием педагогических работников города, основными компонентами которой являются цель, содержание, формы и результат. Условием реализации и развития данной модели является системный обмен информацией. Созданная в городе социально-педагогическая среда способствует формированию новой профессионально-личностной позиции педагога в условиях реализации профессиональных стандартов.</w:t>
      </w:r>
    </w:p>
    <w:p w:rsidR="00DE51F8" w:rsidRPr="00585073" w:rsidRDefault="00DE51F8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Зинченко, Ю.А.   Взаимосвязь педагогических функций с профессионально-педагогическими качествами учителя [Текст] / Ю.А. Зинченко    // Методист. - 2019. - №2. - С.25-28.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Статья посвящена актуальной на сегодняшний день проблеме профессиональной деятельности педагога, в которой от его личностных качеств, профессионального уровня во многом зависит уровень подготовленности и воспитанности будущих детей. Основное содержание статьи представляет результаты исследования. Проведен корреляционный анализ взаимосвязи педагогических функций с профессионально-педагогическими качествами учителя.</w:t>
      </w:r>
    </w:p>
    <w:p w:rsidR="00DE51F8" w:rsidRPr="00585073" w:rsidRDefault="00DE51F8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Савостьянов, А.И.   Экология души молодого поколения - залог жизнедеятельности России в XXI веке [Текст] / А.И. Савостьянов    // Методист. - 2019. - №2. - С.41-44.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Автор статьи напоминает всем россиянам, что восхождение к общечеловеческим ценностям - гуманизму, патриотизму, гражданской позиции - сегодняшняя политика государства в сфере образования. Исходя из запросов общества, автор делает акцент на формирование такой личности, которая отвечала бы социальному заказу России.</w:t>
      </w:r>
    </w:p>
    <w:p w:rsidR="00DE51F8" w:rsidRPr="00585073" w:rsidRDefault="00DE51F8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Тархов, К.Ю.   Рубежное контрольное мероприятие по разделам "Растворы. Протолиз. Гидролиз" в курсе Химии высшей школы [Текст] / К.Ю. Тархов    // Методист. - 2019. - №2. - С.48-50.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данной работе рассматривается форма, содержание и структура рубежного контрольного мероприятия по разделам: растворы, протолиз, гидролиз при изучении студентами курса общей и неорганической химии, а также приводятся задания, используемые на практике в течение многих лет при проведении данного рубежного контрольного мероприятия.</w:t>
      </w:r>
    </w:p>
    <w:p w:rsidR="00DE51F8" w:rsidRPr="00585073" w:rsidRDefault="00DE51F8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Сивухина, Т.С.   "Но Россия его не забудет вовек" [Текст]: авторская педагогическая разработка / Т.С. Сивухина    // Методист. - 2019. - №2. - С.51-52.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Разработка классного часа предназначена для обучающихся 1-2 курсов техникума. О подвиге советского народа в годы Великой Отечественной войны. В годы войны в полную силу проявился мужественный и стойкий характер земляков-зиминцев как на фронте, так и в тылу. Достаточно сказать, что Зиминская земля подарила Родине 11 Героев Советского Союза.</w:t>
      </w:r>
    </w:p>
    <w:p w:rsidR="00DE51F8" w:rsidRPr="00585073" w:rsidRDefault="00DE51F8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Ткач, В.А.   Успешность как основной ориентир управления мотивацией профессионального развития педагогов [Текст]: на примере МОУ СОШ №6 с углубленным изучением отдельных предметов, г.</w:t>
      </w:r>
      <w:r w:rsidR="00FE466F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Надым / В.А. Ткач, Н.Г. Федюк    // Методист. - 2019. - №2. - С.53-56.</w:t>
      </w:r>
    </w:p>
    <w:p w:rsidR="00DE51F8" w:rsidRPr="00585073" w:rsidRDefault="00DE51F8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статье представлен опыт школы по созданию атмосферы успешности как важного фактора профессионального развития педагогического коллектива, а также раскрываются проблемы, стоящие перед руководством школы в выборе направления развития, и управленческие механизмы мотивации профессионального развития педагогов.</w:t>
      </w:r>
    </w:p>
    <w:p w:rsidR="0060527D" w:rsidRPr="00585073" w:rsidRDefault="003D1D70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Максимов, С.Ю.</w:t>
      </w:r>
      <w:r w:rsidR="0060527D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Техника механизированной дуговой сварки в защитных газах неповоротных стыковых соединений труб при реконструкции и ремонте магистральных газопроводов [Текст] / С.Ю. Максимов, А.А. Гаврилюк, В.И. Удод    // Сварщик в России. - 2019. - №1. - С.6-9.</w:t>
      </w:r>
    </w:p>
    <w:p w:rsidR="00113514" w:rsidRDefault="00113514" w:rsidP="00113514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656</wp:posOffset>
            </wp:positionV>
            <wp:extent cx="1485743" cy="2038350"/>
            <wp:effectExtent l="0" t="0" r="63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402_095743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743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7D" w:rsidRPr="00585073">
        <w:rPr>
          <w:rFonts w:ascii="Times New Roman" w:hAnsi="Times New Roman" w:cs="Times New Roman"/>
          <w:sz w:val="28"/>
          <w:szCs w:val="28"/>
        </w:rPr>
        <w:t xml:space="preserve">Отечественный опыт ремонтных работ на магистральных трубопроводах свидетельствует, что основным способом выполнения сварки является ручная дуговая сварка. Для сокращения продолжительности сварочных работ с одновременным повышением их качества предлагается использовать механизированную дуговую сварку, как достаточно простой и прогрессивный способ с одной стороны, и сравнительно недорогой с другой. </w:t>
      </w:r>
    </w:p>
    <w:p w:rsidR="0060527D" w:rsidRPr="00585073" w:rsidRDefault="0060527D" w:rsidP="001135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 xml:space="preserve">С этой целью в ИЭС им. Е.О. Патона были отработаны основные приемы механизированной сварки в защитных газах проволокой сплошного сечения неповоротных кольцевых стыковых сварных соединений труб диаметром до 1420 мм. Разработаны рекомендации по выполнению корневого, заполняющих и облицовочного проходов с учетом пространственного положения. </w:t>
      </w:r>
    </w:p>
    <w:p w:rsidR="0060527D" w:rsidRPr="00585073" w:rsidRDefault="003D1D70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Миленин, А.С.</w:t>
      </w:r>
      <w:r w:rsidR="0060527D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Обзор критериев допустимости поверхностных трещинообразных дефектов трубопроводных систем [Текст] / А.С. Миленин    // Сварщик в России. - 2019. - №1. - С.10-15.</w:t>
      </w:r>
    </w:p>
    <w:p w:rsidR="0060527D" w:rsidRPr="00585073" w:rsidRDefault="0060527D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Рассмотрены различные методы аналитической оценки допустимости поверхностных трещинообразных дефектов трубопроводов и сосудов давления, позволяющие с определенной степенью консервативности прогнозировать разрушение дефектной конструкции вследствие спонтанного распространения трещин. Приведены как классические теории механики разрушения хрупких материалов, так и современные подходы хрупко-вязкого механизма развития дефектности конструкционных материалов под действием внешнего силового нагружения. Проведено сравнение консервативности наиболее применяемых на практике подходов, нашедших отражение в актуальных нормативных документах.</w:t>
      </w:r>
    </w:p>
    <w:p w:rsidR="0060527D" w:rsidRPr="00585073" w:rsidRDefault="003D1D70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Шелепов, Е.П.</w:t>
      </w:r>
      <w:r w:rsidR="0060527D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Поточная термообработка наплавочных электродов Т-590 и Т-620 [Текст] / Е.П. Шелепов    // Сварщик в России. - 2019. - №1. - С. 16-18.</w:t>
      </w:r>
    </w:p>
    <w:p w:rsidR="00DE51F8" w:rsidRPr="00585073" w:rsidRDefault="0060527D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Рассмотрена паточная линия для термообработки наплавочных электродов с особо толстым покрытием. Линия содержит участок провяливания, туннельную сушильно-прокалочную печь и участок охлаждения. Для наиболее важного элемента линии - туннельной печи, приведены описание тепловой схемы, техническая характеристика и результаты промышленных испытаний. Отмечена возможность использования линии как для наплавочных, так и для сварочных электродов.</w:t>
      </w:r>
    </w:p>
    <w:p w:rsidR="0060527D" w:rsidRPr="00585073" w:rsidRDefault="003D1D70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Стешиц, А.Г.</w:t>
      </w:r>
      <w:r w:rsidR="0060527D" w:rsidRPr="0058507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Применение специализированной позиционирующей оснастки в сварочном производстве или "Lego" для сварщиков [Текст] / А.Г. Стешиц    // Сварщик в России. - 2019. - №1. - С.19-25.</w:t>
      </w:r>
    </w:p>
    <w:p w:rsidR="0060527D" w:rsidRPr="00585073" w:rsidRDefault="0060527D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С развитием современных сварочных производств все большую актуальность приобретает наличие в технологическом процессе быстро перенастраиваемых кондукторов и шаблонов. Одним из путей решения позиционирования и закрепления деталей для сварки долгое время являлась система универсальных сварочных приспособлений - УСП. Сегодня современное производство требует не только сваривание изделий с соблюдением технических и технологических параметров шва, но и с получением точных геометрических размеров всей конструкции после проведения сварочных работ. Поэтому в сварочном производстве появилось новое понятие: системы 3D фиксации или стапели для сборочно-сварочных работ.</w:t>
      </w:r>
    </w:p>
    <w:p w:rsidR="0060527D" w:rsidRPr="00585073" w:rsidRDefault="0060527D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Литвинов, В.М.   Ручные инжекторные газокислородные резаки [Текст] / В.М. Литвинов, Ю.Н. Лысенко, С.А. Чумак    // Сварщик в России. - 2019. - №1. - С.26-29.</w:t>
      </w:r>
    </w:p>
    <w:p w:rsidR="0060527D" w:rsidRPr="00585073" w:rsidRDefault="0060527D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данной статье рассмотрены вопросы устройства, принципов действия и технических характеристик ручных инжекторных газокислородных резаков. Представлены серийные газокислородные резаки Р1 (разрезаемая толщина до 100 мм, горючий газ ацетилен - резак Р1А, пропан - резак Р1П, метан - резак Р1М), резак Р2А (разрезаемая толщина до 200 мм), работающие на пропане (Р3П) и метане (Р3М), пользующиеся повышенным спросом. Приведены их классификация, комплектность, технические характеристики и устройство. Рассмотрен принцип действия аппаратуры.</w:t>
      </w:r>
    </w:p>
    <w:p w:rsidR="0060527D" w:rsidRPr="00585073" w:rsidRDefault="0060527D" w:rsidP="00585073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85073">
        <w:rPr>
          <w:rFonts w:ascii="Times New Roman" w:hAnsi="Times New Roman" w:cs="Times New Roman"/>
          <w:b/>
          <w:color w:val="0070C0"/>
          <w:sz w:val="28"/>
          <w:szCs w:val="28"/>
        </w:rPr>
        <w:t>Хатько, В.   Визуальный контроль сварных соединений. Подходы к разработке методики контроля. Наиболее частые практические ошибки [Текст] / В. Хатько    // Сварщик в России. - 2019. - №1. - С.30-36.</w:t>
      </w:r>
    </w:p>
    <w:p w:rsidR="0060527D" w:rsidRPr="00585073" w:rsidRDefault="0060527D" w:rsidP="0058507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073">
        <w:rPr>
          <w:rFonts w:ascii="Times New Roman" w:hAnsi="Times New Roman" w:cs="Times New Roman"/>
          <w:sz w:val="28"/>
          <w:szCs w:val="28"/>
        </w:rPr>
        <w:t>В данной статье изложена методика выполнения визуального контроля, а также возникающие при разработке методик проблемы и ошибки, т.к. ни один стандарт не устанавливает унифицированных подходов. Инженеры компании УП "Белгазпромдиагностика" имеют большой опыт как непосредственного проведения визуального контроля, так и подготовки специалистов для сертификации персонала в области неразрушающего контроля. Предлагаемая методика значительно унифицирует практическое применение благодаря рассмотрению порядка проведения визуального контроля в виде алгоритма и поможет избежать многих типичных ошибок.</w:t>
      </w:r>
    </w:p>
    <w:p w:rsidR="00E97985" w:rsidRPr="00E97985" w:rsidRDefault="00E97985" w:rsidP="00E97985">
      <w:pPr>
        <w:spacing w:after="0" w:line="36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97985">
        <w:rPr>
          <w:rFonts w:ascii="Times New Roman" w:hAnsi="Times New Roman" w:cs="Times New Roman"/>
          <w:b/>
          <w:color w:val="0070C0"/>
          <w:sz w:val="28"/>
          <w:szCs w:val="28"/>
        </w:rPr>
        <w:t>Арсентьева, С. Впился, как клещ… [Текст] // Республика Татарстан. – 2019. - №48. – 4 апреля.</w:t>
      </w:r>
    </w:p>
    <w:p w:rsidR="00E97985" w:rsidRPr="00E97985" w:rsidRDefault="00E97985" w:rsidP="00E9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985">
        <w:rPr>
          <w:rFonts w:ascii="Times New Roman" w:hAnsi="Times New Roman" w:cs="Times New Roman"/>
          <w:sz w:val="28"/>
          <w:szCs w:val="28"/>
        </w:rPr>
        <w:t xml:space="preserve">Кто о чём, а мы о клещах. Вроде бы рано об этой напасти разговор заводить – за окном ещё снег лежит. Но, как грустно шутят врачи, весна для них – всего лишь переход из периода осенне-зимне-весенних ОРВИ в период клещевых энцефалита и боррелиоза в придачу с геморрагической лихорадкой с почечным синдромом. Впрочем, похоже, нынешние клещи вообще намерены бодрствовать круглогодично. Не верите? В прошлом году сведения в Минздрав РТ о свежем укусе клеща аж десятого декабря поступили, когда и снег лежал давно, и морозы о себе заявили. А информация о первых весенних кровопийцах появляется обычно уже в середине апреля. Так что «сон в зимнюю ночь» у мини-вампиров совсем короткий. Но всё равно просыпаются они голодные и злые. </w:t>
      </w:r>
    </w:p>
    <w:p w:rsidR="00E97985" w:rsidRPr="00E97985" w:rsidRDefault="00E97985" w:rsidP="00E97985">
      <w:pPr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63F5D9CE" wp14:editId="69B1A0C8">
            <wp:simplePos x="0" y="0"/>
            <wp:positionH relativeFrom="margin">
              <wp:align>left</wp:align>
            </wp:positionH>
            <wp:positionV relativeFrom="paragraph">
              <wp:posOffset>445135</wp:posOffset>
            </wp:positionV>
            <wp:extent cx="1523018" cy="202565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90405_144747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018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7985">
        <w:rPr>
          <w:rFonts w:ascii="Times New Roman" w:hAnsi="Times New Roman" w:cs="Times New Roman"/>
          <w:sz w:val="28"/>
          <w:szCs w:val="28"/>
        </w:rPr>
        <w:t>Клещевой энцефалит (весенне-летний клещевой менингоэнцефалит) – природно-очаговая вирусная инфекция, характеризующаяся лихорадкой, интоксикацией и поражением серого вещества головного мозга (энцефалит) и/или оболочек головного и спинного мозга (менингит и менингоэнцефалит). Заболевание может привести к стойким неврологическим и психиатрическим осложнениям и даже к смерти больного. Носителями вируса, по статистике, являются шесть клещей из ста (при этом заболеть от заражённой особи могут от 2 до 6 процентов укушенных людей).</w:t>
      </w:r>
    </w:p>
    <w:p w:rsidR="00E97985" w:rsidRPr="00E97985" w:rsidRDefault="00E97985" w:rsidP="00E9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7985">
        <w:rPr>
          <w:rFonts w:ascii="Times New Roman" w:hAnsi="Times New Roman" w:cs="Times New Roman"/>
          <w:sz w:val="28"/>
          <w:szCs w:val="28"/>
        </w:rPr>
        <w:t>Клещевой боррелиоз (болезнь Лайма) – инфекционное заболевание, вызываемое спирохетами и передающееся клещами, имеющее наклонность к хроническому и рецидивирующему течению и преимущественному поражению кожи, нервной системы, опорно-двигательного аппарата и сердца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E979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7985" w:rsidRPr="00E97985" w:rsidRDefault="00E97985" w:rsidP="00E9798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27D" w:rsidRPr="00585073" w:rsidRDefault="0060527D" w:rsidP="005850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42D9" w:rsidRPr="00585073" w:rsidRDefault="00AD42D9" w:rsidP="005850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42D9" w:rsidRPr="00585073" w:rsidRDefault="00AD42D9" w:rsidP="005850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AD42D9" w:rsidRPr="00585073" w:rsidSect="00113514">
      <w:footerReference w:type="default" r:id="rId12"/>
      <w:pgSz w:w="11906" w:h="16838"/>
      <w:pgMar w:top="1134" w:right="567" w:bottom="1134" w:left="567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89F" w:rsidRDefault="00EE389F" w:rsidP="00585073">
      <w:pPr>
        <w:spacing w:after="0" w:line="240" w:lineRule="auto"/>
      </w:pPr>
      <w:r>
        <w:separator/>
      </w:r>
    </w:p>
  </w:endnote>
  <w:endnote w:type="continuationSeparator" w:id="0">
    <w:p w:rsidR="00EE389F" w:rsidRDefault="00EE389F" w:rsidP="0058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18981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585073" w:rsidRPr="00585073" w:rsidRDefault="00585073">
        <w:pPr>
          <w:pStyle w:val="a5"/>
          <w:jc w:val="right"/>
          <w:rPr>
            <w:rFonts w:ascii="Times New Roman" w:hAnsi="Times New Roman" w:cs="Times New Roman"/>
            <w:sz w:val="16"/>
            <w:szCs w:val="16"/>
          </w:rPr>
        </w:pPr>
        <w:r w:rsidRPr="00585073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585073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585073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EE389F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585073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585073" w:rsidRDefault="005850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89F" w:rsidRDefault="00EE389F" w:rsidP="00585073">
      <w:pPr>
        <w:spacing w:after="0" w:line="240" w:lineRule="auto"/>
      </w:pPr>
      <w:r>
        <w:separator/>
      </w:r>
    </w:p>
  </w:footnote>
  <w:footnote w:type="continuationSeparator" w:id="0">
    <w:p w:rsidR="00EE389F" w:rsidRDefault="00EE389F" w:rsidP="00585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A95"/>
    <w:rsid w:val="00113514"/>
    <w:rsid w:val="003213F8"/>
    <w:rsid w:val="003303A6"/>
    <w:rsid w:val="003D1D70"/>
    <w:rsid w:val="00585073"/>
    <w:rsid w:val="0060527D"/>
    <w:rsid w:val="006F1A7B"/>
    <w:rsid w:val="00855A95"/>
    <w:rsid w:val="00AD42D9"/>
    <w:rsid w:val="00BB3147"/>
    <w:rsid w:val="00DE51F8"/>
    <w:rsid w:val="00E97985"/>
    <w:rsid w:val="00EE389F"/>
    <w:rsid w:val="00FE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CC8F9"/>
  <w15:chartTrackingRefBased/>
  <w15:docId w15:val="{3175445A-3431-4816-9F57-492D2A8A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073"/>
  </w:style>
  <w:style w:type="paragraph" w:styleId="a5">
    <w:name w:val="footer"/>
    <w:basedOn w:val="a"/>
    <w:link w:val="a6"/>
    <w:uiPriority w:val="99"/>
    <w:unhideWhenUsed/>
    <w:rsid w:val="00585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9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8</cp:revision>
  <dcterms:created xsi:type="dcterms:W3CDTF">2019-04-05T12:05:00Z</dcterms:created>
  <dcterms:modified xsi:type="dcterms:W3CDTF">2019-04-06T15:34:00Z</dcterms:modified>
</cp:coreProperties>
</file>